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26" w:rsidRPr="00C53B88" w:rsidRDefault="00C53B88" w:rsidP="00244B71">
      <w:pPr>
        <w:numPr>
          <w:ilvl w:val="0"/>
          <w:numId w:val="1"/>
        </w:numPr>
        <w:tabs>
          <w:tab w:val="clear" w:pos="720"/>
          <w:tab w:val="num" w:pos="540"/>
        </w:tabs>
        <w:spacing w:before="240"/>
        <w:ind w:left="540"/>
        <w:jc w:val="both"/>
        <w:rPr>
          <w:rFonts w:ascii="Arial" w:hAnsi="Arial" w:cs="Arial"/>
          <w:sz w:val="22"/>
          <w:szCs w:val="22"/>
        </w:rPr>
      </w:pPr>
      <w:bookmarkStart w:id="0" w:name="_GoBack"/>
      <w:bookmarkEnd w:id="0"/>
      <w:r w:rsidRPr="00C53B88">
        <w:rPr>
          <w:rFonts w:ascii="Arial" w:hAnsi="Arial" w:cs="Arial"/>
          <w:sz w:val="22"/>
          <w:szCs w:val="22"/>
        </w:rPr>
        <w:t>The Q</w:t>
      </w:r>
      <w:r>
        <w:rPr>
          <w:rFonts w:ascii="Arial" w:hAnsi="Arial" w:cs="Arial"/>
          <w:sz w:val="22"/>
          <w:szCs w:val="22"/>
        </w:rPr>
        <w:t xml:space="preserve">ueensland </w:t>
      </w:r>
      <w:r w:rsidRPr="00C53B88">
        <w:rPr>
          <w:rFonts w:ascii="Arial" w:hAnsi="Arial" w:cs="Arial"/>
          <w:sz w:val="22"/>
          <w:szCs w:val="22"/>
        </w:rPr>
        <w:t>S</w:t>
      </w:r>
      <w:r>
        <w:rPr>
          <w:rFonts w:ascii="Arial" w:hAnsi="Arial" w:cs="Arial"/>
          <w:sz w:val="22"/>
          <w:szCs w:val="22"/>
        </w:rPr>
        <w:t xml:space="preserve">tudies </w:t>
      </w:r>
      <w:r w:rsidRPr="00C53B88">
        <w:rPr>
          <w:rFonts w:ascii="Arial" w:hAnsi="Arial" w:cs="Arial"/>
          <w:sz w:val="22"/>
          <w:szCs w:val="22"/>
        </w:rPr>
        <w:t>A</w:t>
      </w:r>
      <w:r>
        <w:rPr>
          <w:rFonts w:ascii="Arial" w:hAnsi="Arial" w:cs="Arial"/>
          <w:sz w:val="22"/>
          <w:szCs w:val="22"/>
        </w:rPr>
        <w:t>uthority</w:t>
      </w:r>
      <w:r w:rsidRPr="00C53B88">
        <w:rPr>
          <w:rFonts w:ascii="Arial" w:hAnsi="Arial" w:cs="Arial"/>
          <w:sz w:val="22"/>
          <w:szCs w:val="22"/>
        </w:rPr>
        <w:t xml:space="preserve"> is a statutory body established by the </w:t>
      </w:r>
      <w:r w:rsidRPr="00C53B88">
        <w:rPr>
          <w:rFonts w:ascii="Arial" w:hAnsi="Arial" w:cs="Arial"/>
          <w:i/>
          <w:sz w:val="22"/>
          <w:szCs w:val="22"/>
        </w:rPr>
        <w:t>Education (</w:t>
      </w:r>
      <w:smartTag w:uri="urn:schemas-microsoft-com:office:smarttags" w:element="place">
        <w:smartTag w:uri="urn:schemas-microsoft-com:office:smarttags" w:element="State">
          <w:r w:rsidRPr="00C53B88">
            <w:rPr>
              <w:rFonts w:ascii="Arial" w:hAnsi="Arial" w:cs="Arial"/>
              <w:i/>
              <w:sz w:val="22"/>
              <w:szCs w:val="22"/>
            </w:rPr>
            <w:t>Queensland</w:t>
          </w:r>
        </w:smartTag>
      </w:smartTag>
      <w:r w:rsidRPr="00C53B88">
        <w:rPr>
          <w:rFonts w:ascii="Arial" w:hAnsi="Arial" w:cs="Arial"/>
          <w:i/>
          <w:sz w:val="22"/>
          <w:szCs w:val="22"/>
        </w:rPr>
        <w:t xml:space="preserve"> Studies Authority) Act 2002.</w:t>
      </w:r>
    </w:p>
    <w:p w:rsidR="00F51D41" w:rsidRPr="00F51D41" w:rsidRDefault="00812AC4" w:rsidP="00244B71">
      <w:pPr>
        <w:numPr>
          <w:ilvl w:val="0"/>
          <w:numId w:val="1"/>
        </w:numPr>
        <w:tabs>
          <w:tab w:val="clear" w:pos="720"/>
          <w:tab w:val="num" w:pos="426"/>
          <w:tab w:val="num" w:pos="540"/>
        </w:tabs>
        <w:spacing w:before="240"/>
        <w:ind w:left="540" w:hanging="357"/>
        <w:jc w:val="both"/>
        <w:rPr>
          <w:rFonts w:ascii="Arial" w:hAnsi="Arial" w:cs="Arial"/>
          <w:sz w:val="22"/>
          <w:szCs w:val="22"/>
        </w:rPr>
      </w:pPr>
      <w:r>
        <w:rPr>
          <w:rFonts w:ascii="Arial" w:hAnsi="Arial" w:cs="Arial"/>
          <w:sz w:val="22"/>
          <w:szCs w:val="22"/>
        </w:rPr>
        <w:tab/>
      </w:r>
      <w:r w:rsidR="00F51D41" w:rsidRPr="00F51D41">
        <w:rPr>
          <w:rFonts w:ascii="Arial" w:hAnsi="Arial" w:cs="Arial"/>
          <w:sz w:val="22"/>
          <w:szCs w:val="22"/>
        </w:rPr>
        <w:t>The functions of the Q</w:t>
      </w:r>
      <w:r w:rsidR="00F51D41">
        <w:rPr>
          <w:rFonts w:ascii="Arial" w:hAnsi="Arial" w:cs="Arial"/>
          <w:sz w:val="22"/>
          <w:szCs w:val="22"/>
        </w:rPr>
        <w:t xml:space="preserve">ueensland </w:t>
      </w:r>
      <w:r w:rsidR="00F51D41" w:rsidRPr="00F51D41">
        <w:rPr>
          <w:rFonts w:ascii="Arial" w:hAnsi="Arial" w:cs="Arial"/>
          <w:sz w:val="22"/>
          <w:szCs w:val="22"/>
        </w:rPr>
        <w:t>S</w:t>
      </w:r>
      <w:r w:rsidR="00F51D41">
        <w:rPr>
          <w:rFonts w:ascii="Arial" w:hAnsi="Arial" w:cs="Arial"/>
          <w:sz w:val="22"/>
          <w:szCs w:val="22"/>
        </w:rPr>
        <w:t xml:space="preserve">tudies </w:t>
      </w:r>
      <w:r w:rsidR="00F51D41" w:rsidRPr="00F51D41">
        <w:rPr>
          <w:rFonts w:ascii="Arial" w:hAnsi="Arial" w:cs="Arial"/>
          <w:sz w:val="22"/>
          <w:szCs w:val="22"/>
        </w:rPr>
        <w:t>A</w:t>
      </w:r>
      <w:r w:rsidR="00F51D41">
        <w:rPr>
          <w:rFonts w:ascii="Arial" w:hAnsi="Arial" w:cs="Arial"/>
          <w:sz w:val="22"/>
          <w:szCs w:val="22"/>
        </w:rPr>
        <w:t>uthority as</w:t>
      </w:r>
      <w:r w:rsidR="00F51D41" w:rsidRPr="00F51D41">
        <w:rPr>
          <w:rFonts w:ascii="Arial" w:hAnsi="Arial" w:cs="Arial"/>
          <w:sz w:val="22"/>
          <w:szCs w:val="22"/>
        </w:rPr>
        <w:t xml:space="preserve"> prescribed by part 2, division 2 of the </w:t>
      </w:r>
      <w:r w:rsidRPr="00C53B88">
        <w:rPr>
          <w:rFonts w:ascii="Arial" w:hAnsi="Arial" w:cs="Arial"/>
          <w:i/>
          <w:sz w:val="22"/>
          <w:szCs w:val="22"/>
        </w:rPr>
        <w:t>Education (</w:t>
      </w:r>
      <w:smartTag w:uri="urn:schemas-microsoft-com:office:smarttags" w:element="place">
        <w:smartTag w:uri="urn:schemas-microsoft-com:office:smarttags" w:element="State">
          <w:r w:rsidRPr="00C53B88">
            <w:rPr>
              <w:rFonts w:ascii="Arial" w:hAnsi="Arial" w:cs="Arial"/>
              <w:i/>
              <w:sz w:val="22"/>
              <w:szCs w:val="22"/>
            </w:rPr>
            <w:t>Queensland</w:t>
          </w:r>
        </w:smartTag>
      </w:smartTag>
      <w:r w:rsidRPr="00C53B88">
        <w:rPr>
          <w:rFonts w:ascii="Arial" w:hAnsi="Arial" w:cs="Arial"/>
          <w:i/>
          <w:sz w:val="22"/>
          <w:szCs w:val="22"/>
        </w:rPr>
        <w:t xml:space="preserve"> Studies Authority) Act 2002</w:t>
      </w:r>
      <w:r>
        <w:rPr>
          <w:rFonts w:ascii="Arial" w:hAnsi="Arial" w:cs="Arial"/>
          <w:i/>
          <w:sz w:val="22"/>
          <w:szCs w:val="22"/>
        </w:rPr>
        <w:t xml:space="preserve"> </w:t>
      </w:r>
      <w:r w:rsidR="00F51D41" w:rsidRPr="00F51D41">
        <w:rPr>
          <w:rFonts w:ascii="Arial" w:hAnsi="Arial" w:cs="Arial"/>
          <w:sz w:val="22"/>
          <w:szCs w:val="22"/>
        </w:rPr>
        <w:t>include to:</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develop, revise, approve</w:t>
      </w:r>
      <w:r w:rsidR="00FA61C8">
        <w:rPr>
          <w:rFonts w:ascii="Arial" w:hAnsi="Arial" w:cs="Arial"/>
          <w:sz w:val="22"/>
          <w:szCs w:val="22"/>
        </w:rPr>
        <w:t>,</w:t>
      </w:r>
      <w:r w:rsidRPr="00F51D41">
        <w:rPr>
          <w:rFonts w:ascii="Arial" w:hAnsi="Arial" w:cs="Arial"/>
          <w:sz w:val="22"/>
          <w:szCs w:val="22"/>
        </w:rPr>
        <w:t xml:space="preserve"> accredit </w:t>
      </w:r>
      <w:r w:rsidR="00FA61C8">
        <w:rPr>
          <w:rFonts w:ascii="Arial" w:hAnsi="Arial" w:cs="Arial"/>
          <w:sz w:val="22"/>
          <w:szCs w:val="22"/>
        </w:rPr>
        <w:t xml:space="preserve">and support implementation of </w:t>
      </w:r>
      <w:r w:rsidRPr="00F51D41">
        <w:rPr>
          <w:rFonts w:ascii="Arial" w:hAnsi="Arial" w:cs="Arial"/>
          <w:sz w:val="22"/>
          <w:szCs w:val="22"/>
        </w:rPr>
        <w:t xml:space="preserve">years </w:t>
      </w:r>
      <w:r w:rsidR="00931C47">
        <w:rPr>
          <w:rFonts w:ascii="Arial" w:hAnsi="Arial" w:cs="Arial"/>
          <w:sz w:val="22"/>
          <w:szCs w:val="22"/>
        </w:rPr>
        <w:br/>
      </w:r>
      <w:r w:rsidRPr="00F51D41">
        <w:rPr>
          <w:rFonts w:ascii="Arial" w:hAnsi="Arial" w:cs="Arial"/>
          <w:sz w:val="22"/>
          <w:szCs w:val="22"/>
        </w:rPr>
        <w:t>1-12 syllabuses, preparatory guidelines and kindergarten guidelines;</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develop, revise and mark tests;</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decide on procedures for, and carry out arrangements for, assessment and moderation;</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issue certificates and statements of results;</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inform the public about vocational education and training;</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keep student accounts;</w:t>
      </w:r>
    </w:p>
    <w:p w:rsidR="00F51D41"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decide tertiary entrance procedures, rank persons for tertiary entrance and issue tertiary entrance statements; and</w:t>
      </w:r>
    </w:p>
    <w:p w:rsidR="00C53B88" w:rsidRPr="00F51D41" w:rsidRDefault="00F51D41" w:rsidP="00244B71">
      <w:pPr>
        <w:numPr>
          <w:ilvl w:val="1"/>
          <w:numId w:val="4"/>
        </w:numPr>
        <w:tabs>
          <w:tab w:val="clear" w:pos="1440"/>
          <w:tab w:val="num" w:pos="1080"/>
        </w:tabs>
        <w:spacing w:before="240"/>
        <w:ind w:left="1080"/>
        <w:jc w:val="both"/>
        <w:rPr>
          <w:rFonts w:ascii="Arial" w:hAnsi="Arial" w:cs="Arial"/>
          <w:sz w:val="22"/>
          <w:szCs w:val="22"/>
        </w:rPr>
      </w:pPr>
      <w:r w:rsidRPr="00F51D41">
        <w:rPr>
          <w:rFonts w:ascii="Arial" w:hAnsi="Arial" w:cs="Arial"/>
          <w:sz w:val="22"/>
          <w:szCs w:val="22"/>
        </w:rPr>
        <w:t xml:space="preserve">undertake research about matters relevant to the </w:t>
      </w:r>
      <w:r w:rsidR="00812AC4">
        <w:rPr>
          <w:rFonts w:ascii="Arial" w:hAnsi="Arial" w:cs="Arial"/>
          <w:sz w:val="22"/>
          <w:szCs w:val="22"/>
        </w:rPr>
        <w:t>Authority’</w:t>
      </w:r>
      <w:r w:rsidRPr="00F51D41">
        <w:rPr>
          <w:rFonts w:ascii="Arial" w:hAnsi="Arial" w:cs="Arial"/>
          <w:sz w:val="22"/>
          <w:szCs w:val="22"/>
        </w:rPr>
        <w:t>s functions</w:t>
      </w:r>
    </w:p>
    <w:p w:rsidR="00C53B88" w:rsidRDefault="00C53B88" w:rsidP="00244B71">
      <w:pPr>
        <w:numPr>
          <w:ilvl w:val="0"/>
          <w:numId w:val="1"/>
        </w:numPr>
        <w:tabs>
          <w:tab w:val="clear" w:pos="720"/>
          <w:tab w:val="num" w:pos="540"/>
        </w:tabs>
        <w:spacing w:before="240"/>
        <w:ind w:left="540"/>
        <w:jc w:val="both"/>
        <w:rPr>
          <w:rFonts w:ascii="Arial" w:hAnsi="Arial" w:cs="Arial"/>
          <w:sz w:val="22"/>
          <w:szCs w:val="22"/>
        </w:rPr>
      </w:pPr>
      <w:r w:rsidRPr="00CA6EDC">
        <w:rPr>
          <w:rFonts w:ascii="Arial" w:hAnsi="Arial" w:cs="Arial"/>
          <w:sz w:val="22"/>
          <w:szCs w:val="22"/>
          <w:u w:val="single"/>
        </w:rPr>
        <w:t>Cabinet noted</w:t>
      </w:r>
      <w:r w:rsidRPr="00C53B88">
        <w:rPr>
          <w:rFonts w:ascii="Arial" w:hAnsi="Arial" w:cs="Arial"/>
          <w:sz w:val="22"/>
          <w:szCs w:val="22"/>
        </w:rPr>
        <w:t xml:space="preserve"> the intention of the Minister for Education, Training and Employment to appoint Mr Robert McHugh as Chairperson and member and Mr David Robertson, Ms Leesa Jeffcoat, Mrs Patricia Neate, Ms Maria Jesus de Ponte y Santa Maria, Mr Daryl Hanly, Mrs Tsae Wong, Ms Samantha Pidgeon, Dr Paul Giles and Professor Claire Wyatt-Smith as members of the Queensland Studies Authority for a term from 1 July 2012 up to and including 30 June 2013.</w:t>
      </w:r>
    </w:p>
    <w:p w:rsidR="00244B71" w:rsidRPr="00C53B88" w:rsidRDefault="00244B71" w:rsidP="00244B71">
      <w:pPr>
        <w:spacing w:before="120"/>
        <w:jc w:val="both"/>
        <w:rPr>
          <w:rFonts w:ascii="Arial" w:hAnsi="Arial" w:cs="Arial"/>
          <w:sz w:val="22"/>
          <w:szCs w:val="22"/>
        </w:rPr>
      </w:pPr>
    </w:p>
    <w:p w:rsidR="00FC177E" w:rsidRPr="00BC1B73" w:rsidRDefault="00FC177E" w:rsidP="00086512">
      <w:pPr>
        <w:pStyle w:val="ListParagraph"/>
        <w:keepLines/>
        <w:numPr>
          <w:ilvl w:val="0"/>
          <w:numId w:val="1"/>
        </w:numPr>
        <w:tabs>
          <w:tab w:val="clear" w:pos="720"/>
          <w:tab w:val="num" w:pos="567"/>
        </w:tabs>
        <w:ind w:hanging="436"/>
        <w:jc w:val="both"/>
        <w:rPr>
          <w:rFonts w:ascii="Arial" w:hAnsi="Arial" w:cs="Arial"/>
          <w:sz w:val="22"/>
          <w:szCs w:val="22"/>
        </w:rPr>
      </w:pPr>
      <w:r w:rsidRPr="00BC1B73">
        <w:rPr>
          <w:rFonts w:ascii="Arial" w:hAnsi="Arial" w:cs="Arial"/>
          <w:i/>
          <w:sz w:val="22"/>
          <w:szCs w:val="22"/>
          <w:u w:val="single"/>
        </w:rPr>
        <w:t>Attachments</w:t>
      </w:r>
    </w:p>
    <w:p w:rsidR="00FC177E" w:rsidRDefault="00086512" w:rsidP="00086512">
      <w:pPr>
        <w:pStyle w:val="ListParagraph"/>
        <w:keepLines/>
        <w:tabs>
          <w:tab w:val="num" w:pos="567"/>
        </w:tabs>
        <w:spacing w:before="120"/>
        <w:ind w:left="425" w:hanging="436"/>
        <w:jc w:val="both"/>
        <w:rPr>
          <w:rFonts w:ascii="Arial" w:hAnsi="Arial" w:cs="Arial"/>
          <w:sz w:val="22"/>
          <w:szCs w:val="22"/>
        </w:rPr>
      </w:pPr>
      <w:r>
        <w:rPr>
          <w:rFonts w:ascii="Arial" w:hAnsi="Arial" w:cs="Arial"/>
          <w:sz w:val="22"/>
          <w:szCs w:val="22"/>
        </w:rPr>
        <w:tab/>
      </w:r>
      <w:r>
        <w:rPr>
          <w:rFonts w:ascii="Arial" w:hAnsi="Arial" w:cs="Arial"/>
          <w:sz w:val="22"/>
          <w:szCs w:val="22"/>
        </w:rPr>
        <w:tab/>
      </w:r>
      <w:r w:rsidR="002F7A5E">
        <w:rPr>
          <w:rFonts w:ascii="Arial" w:hAnsi="Arial" w:cs="Arial"/>
          <w:sz w:val="22"/>
          <w:szCs w:val="22"/>
        </w:rPr>
        <w:t>Nil.</w:t>
      </w:r>
    </w:p>
    <w:p w:rsidR="00C53B88" w:rsidRPr="00C53B88" w:rsidRDefault="00C53B88" w:rsidP="00244B71">
      <w:pPr>
        <w:rPr>
          <w:rFonts w:ascii="Arial" w:hAnsi="Arial" w:cs="Arial"/>
          <w:sz w:val="22"/>
          <w:szCs w:val="22"/>
        </w:rPr>
      </w:pPr>
    </w:p>
    <w:sectPr w:rsidR="00C53B88" w:rsidRPr="00C53B88" w:rsidSect="00244B71">
      <w:head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4B" w:rsidRDefault="0057144B">
      <w:r>
        <w:separator/>
      </w:r>
    </w:p>
  </w:endnote>
  <w:endnote w:type="continuationSeparator" w:id="0">
    <w:p w:rsidR="0057144B" w:rsidRDefault="0057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4B" w:rsidRDefault="0057144B">
      <w:r>
        <w:separator/>
      </w:r>
    </w:p>
  </w:footnote>
  <w:footnote w:type="continuationSeparator" w:id="0">
    <w:p w:rsidR="0057144B" w:rsidRDefault="0057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B71" w:rsidRPr="00D75134" w:rsidRDefault="00244B71" w:rsidP="00244B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244B71" w:rsidRPr="00D75134" w:rsidRDefault="00244B71" w:rsidP="00244B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44B71" w:rsidRPr="001E209B" w:rsidRDefault="00244B71" w:rsidP="00244B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244B71" w:rsidRDefault="00244B71" w:rsidP="00244B71">
    <w:pPr>
      <w:pStyle w:val="Header"/>
      <w:spacing w:before="120"/>
      <w:rPr>
        <w:rFonts w:ascii="Arial" w:hAnsi="Arial" w:cs="Arial"/>
        <w:b/>
        <w:sz w:val="22"/>
        <w:szCs w:val="22"/>
        <w:u w:val="single"/>
      </w:rPr>
    </w:pPr>
    <w:r w:rsidRPr="00C53B88">
      <w:rPr>
        <w:rFonts w:ascii="Arial" w:hAnsi="Arial" w:cs="Arial"/>
        <w:b/>
        <w:sz w:val="22"/>
        <w:szCs w:val="22"/>
        <w:u w:val="single"/>
      </w:rPr>
      <w:t>Appointment of a chairperson and nine members to the Queensland Studies Authority and remuneration of eligible members</w:t>
    </w:r>
  </w:p>
  <w:p w:rsidR="00244B71" w:rsidRDefault="00244B71" w:rsidP="00244B71">
    <w:pPr>
      <w:pStyle w:val="Header"/>
      <w:spacing w:before="120"/>
      <w:rPr>
        <w:rFonts w:ascii="Arial" w:hAnsi="Arial" w:cs="Arial"/>
        <w:b/>
        <w:sz w:val="22"/>
        <w:szCs w:val="22"/>
        <w:u w:val="single"/>
      </w:rPr>
    </w:pPr>
    <w:r>
      <w:rPr>
        <w:rFonts w:ascii="Arial" w:hAnsi="Arial" w:cs="Arial"/>
        <w:b/>
        <w:sz w:val="22"/>
        <w:szCs w:val="22"/>
        <w:u w:val="single"/>
      </w:rPr>
      <w:t>Minister for Education, Training and Employment</w:t>
    </w:r>
  </w:p>
  <w:p w:rsidR="00244B71" w:rsidRDefault="00244B71" w:rsidP="00244B7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71CAD2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C380916"/>
    <w:multiLevelType w:val="hybridMultilevel"/>
    <w:tmpl w:val="CF209F38"/>
    <w:lvl w:ilvl="0" w:tplc="5592226E">
      <w:start w:val="1"/>
      <w:numFmt w:val="decimal"/>
      <w:lvlText w:val="%1."/>
      <w:lvlJc w:val="left"/>
      <w:pPr>
        <w:tabs>
          <w:tab w:val="num" w:pos="7023"/>
        </w:tabs>
        <w:ind w:left="7023" w:hanging="360"/>
      </w:pPr>
      <w:rPr>
        <w:rFonts w:ascii="Times New Roman" w:hAnsi="Times New Roman" w:hint="default"/>
        <w:b w:val="0"/>
        <w:i w:val="0"/>
      </w:rPr>
    </w:lvl>
    <w:lvl w:ilvl="1" w:tplc="FFFFFFFF">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980"/>
        </w:tabs>
        <w:ind w:left="1980" w:hanging="360"/>
      </w:pPr>
      <w:rPr>
        <w:rFonts w:ascii="Symbol" w:hAnsi="Symbol" w:hint="default"/>
        <w:b w:val="0"/>
        <w:i w:val="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6D5E7370"/>
    <w:multiLevelType w:val="hybridMultilevel"/>
    <w:tmpl w:val="3A4E0E38"/>
    <w:lvl w:ilvl="0" w:tplc="F976CE98">
      <w:start w:val="1"/>
      <w:numFmt w:val="decimal"/>
      <w:lvlText w:val="%1."/>
      <w:lvlJc w:val="left"/>
      <w:pPr>
        <w:tabs>
          <w:tab w:val="num" w:pos="720"/>
        </w:tabs>
        <w:ind w:left="720" w:hanging="360"/>
      </w:pPr>
      <w:rPr>
        <w:rFonts w:ascii="Arial" w:hAnsi="Arial" w:cs="Aria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896DAC"/>
    <w:multiLevelType w:val="hybridMultilevel"/>
    <w:tmpl w:val="3D821DCA"/>
    <w:lvl w:ilvl="0" w:tplc="04090003">
      <w:start w:val="1"/>
      <w:numFmt w:val="bullet"/>
      <w:lvlText w:val="o"/>
      <w:lvlJc w:val="left"/>
      <w:pPr>
        <w:tabs>
          <w:tab w:val="num" w:pos="1260"/>
        </w:tabs>
        <w:ind w:left="1260" w:hanging="360"/>
      </w:pPr>
      <w:rPr>
        <w:rFonts w:ascii="Courier New" w:hAnsi="Courier New" w:hint="default"/>
      </w:rPr>
    </w:lvl>
    <w:lvl w:ilvl="1" w:tplc="99E6BA0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Symbol"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Symbol"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88"/>
    <w:rsid w:val="00086512"/>
    <w:rsid w:val="00151BEC"/>
    <w:rsid w:val="00160262"/>
    <w:rsid w:val="00226CF9"/>
    <w:rsid w:val="00244B71"/>
    <w:rsid w:val="002B6B1A"/>
    <w:rsid w:val="002F7A5E"/>
    <w:rsid w:val="00302B20"/>
    <w:rsid w:val="00303926"/>
    <w:rsid w:val="003E72CA"/>
    <w:rsid w:val="0057144B"/>
    <w:rsid w:val="005A5085"/>
    <w:rsid w:val="006D07B6"/>
    <w:rsid w:val="007005B1"/>
    <w:rsid w:val="00773AA6"/>
    <w:rsid w:val="007F08A5"/>
    <w:rsid w:val="00812AC4"/>
    <w:rsid w:val="00931C47"/>
    <w:rsid w:val="00957A26"/>
    <w:rsid w:val="009D30A3"/>
    <w:rsid w:val="00A34087"/>
    <w:rsid w:val="00AA557E"/>
    <w:rsid w:val="00B412D7"/>
    <w:rsid w:val="00C068DC"/>
    <w:rsid w:val="00C53B88"/>
    <w:rsid w:val="00CA6EDC"/>
    <w:rsid w:val="00CB11AB"/>
    <w:rsid w:val="00D01664"/>
    <w:rsid w:val="00E72B57"/>
    <w:rsid w:val="00EC6FF1"/>
    <w:rsid w:val="00EE7269"/>
    <w:rsid w:val="00F51D41"/>
    <w:rsid w:val="00FA61C8"/>
    <w:rsid w:val="00FC1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B88"/>
    <w:pPr>
      <w:tabs>
        <w:tab w:val="center" w:pos="4153"/>
        <w:tab w:val="right" w:pos="8306"/>
      </w:tabs>
    </w:pPr>
  </w:style>
  <w:style w:type="paragraph" w:styleId="Footer">
    <w:name w:val="footer"/>
    <w:basedOn w:val="Normal"/>
    <w:rsid w:val="00C53B88"/>
    <w:pPr>
      <w:tabs>
        <w:tab w:val="center" w:pos="4153"/>
        <w:tab w:val="right" w:pos="8306"/>
      </w:tabs>
    </w:pPr>
  </w:style>
  <w:style w:type="paragraph" w:styleId="ListParagraph">
    <w:name w:val="List Paragraph"/>
    <w:basedOn w:val="Normal"/>
    <w:qFormat/>
    <w:rsid w:val="00FC177E"/>
    <w:pPr>
      <w:ind w:left="720"/>
    </w:pPr>
    <w:rPr>
      <w:rFonts w:eastAsia="Times New Roman"/>
      <w:color w:val="000000"/>
      <w:szCs w:val="20"/>
      <w:lang w:eastAsia="en-AU"/>
    </w:rPr>
  </w:style>
  <w:style w:type="paragraph" w:styleId="BalloonText">
    <w:name w:val="Balloon Text"/>
    <w:basedOn w:val="Normal"/>
    <w:semiHidden/>
    <w:rsid w:val="006D07B6"/>
    <w:rPr>
      <w:rFonts w:ascii="Tahoma" w:hAnsi="Tahoma" w:cs="Tahoma"/>
      <w:sz w:val="16"/>
      <w:szCs w:val="16"/>
    </w:rPr>
  </w:style>
  <w:style w:type="character" w:customStyle="1" w:styleId="HeaderChar">
    <w:name w:val="Header Char"/>
    <w:basedOn w:val="DefaultParagraphFont"/>
    <w:link w:val="Header"/>
    <w:uiPriority w:val="99"/>
    <w:rsid w:val="00244B7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1063-6516-4CBD-8E36-C6ACDFEA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1137</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CharactersWithSpaces>
  <SharedDoc>false</SharedDoc>
  <HyperlinkBase>https://www.cabinet.qld.gov.au/documents/2012/Jun/Appt to the Qld Studies Authority/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2017-10-24T23:19:00Z</dcterms:created>
  <dcterms:modified xsi:type="dcterms:W3CDTF">2018-03-06T01:13:00Z</dcterms:modified>
  <cp:category>Education,Significant_Appointments</cp:category>
</cp:coreProperties>
</file>